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8310" cy="609600"/>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left"/>
        <w:rPr>
          <w:rFonts w:ascii="Arial" w:cs="Arial" w:eastAsia="Arial" w:hAnsi="Arial"/>
          <w:b w:val="0"/>
          <w:i w:val="0"/>
          <w:smallCaps w:val="0"/>
          <w:strike w:val="0"/>
          <w:color w:val="3f3f3f"/>
          <w:sz w:val="7"/>
          <w:szCs w:val="7"/>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2" w:right="0" w:hanging="4"/>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left"/>
        <w:rPr>
          <w:rFonts w:ascii="Arial" w:cs="Arial" w:eastAsia="Arial" w:hAnsi="Arial"/>
          <w:b w:val="0"/>
          <w:i w:val="0"/>
          <w:smallCaps w:val="0"/>
          <w:strike w:val="0"/>
          <w:color w:val="3f3f3f"/>
          <w:sz w:val="15"/>
          <w:szCs w:val="15"/>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2" w:right="0" w:hanging="4"/>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UkrainianBaltica" w:cs="UkrainianBaltica" w:eastAsia="UkrainianBaltica" w:hAnsi="UkrainianBaltica"/>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26 вересня 2023 року                   м. Сквира                         № 17 -39-VIII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сесії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від 22.12.2020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27-3-VIII «Про створення Відділу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капітального будівництва, комунальної власності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житлово-комунального господарства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та затвердження його Положення»</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З метою приведення власних рішень у відповідність та беручи до уваги необхідність врегулювання діяльності відділу капітального будівництва, комунальної власності та житлово-комунального господарства Сквирської міської ради, керуючись ст. 26 Закону України «Про місцеве самоврядування в Україні»,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Внести зміни до рішення сесії Сквирської міської ради від 22.12.2020 №27-3-VIII «Про створення Відділу капітального будівництва, комунальної власності та житлово-комунального господарства Сквирської міської ради та затвердження його Положення» а саме: пункт 2 викласти в новій редакції, (додаток 1).</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Пункт 2 рішення сесії Сквирської міської ради від 22.12.2020 №27-3-VIII «Про створення Відділу капітального будівництва, комунальної власності та житлово-комунального господарства Сквирської міської ради та затвердження його Положення» вважати таким, що втратив чинність.</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sz w:val="28"/>
          <w:szCs w:val="28"/>
          <w:highlight w:val="whit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з питань </w:t>
      </w:r>
      <w:r w:rsidDel="00000000" w:rsidR="00000000" w:rsidRPr="00000000">
        <w:rPr>
          <w:sz w:val="28"/>
          <w:szCs w:val="28"/>
          <w:rtl w:val="0"/>
        </w:rPr>
        <w:t xml:space="preserve">з питань регламенту,  депутатської етики, законності та правопорядку</w:t>
      </w:r>
      <w:r w:rsidDel="00000000" w:rsidR="00000000" w:rsidRPr="00000000">
        <w:rPr>
          <w:sz w:val="28"/>
          <w:szCs w:val="28"/>
          <w:highlight w:val="white"/>
          <w:rtl w:val="0"/>
        </w:rPr>
        <w:t xml:space="preserv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Додаток 1</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рішення міської ради</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26 вересня 2023 р.</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17 - 39–VІІІ</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Відділ капітального будівництва, комунальної власності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житлово-комунального господарства</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Загальні положення:</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капітального будівництва, комунальної власності та житлово-комунального господарства Сквирської міської ради (далі – відділ) є виконавчим органом Сквирської міської ради, який утворюється міською радою, підзвітний і підконтрольний міській раді, її виконавчому комітету і міському голові.</w:t>
      </w:r>
    </w:p>
    <w:p w:rsidR="00000000" w:rsidDel="00000000" w:rsidP="00000000" w:rsidRDefault="00000000" w:rsidRPr="00000000" w14:paraId="0000002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є юридичною особою публічного права, має власну печатку із зображенням Малого Державного Герба України і надписом свого найменування та штампи із надписом свого найменування, рахунки в банках, власні бланки.</w:t>
      </w:r>
    </w:p>
    <w:p w:rsidR="00000000" w:rsidDel="00000000" w:rsidP="00000000" w:rsidRDefault="00000000" w:rsidRPr="00000000" w14:paraId="0000002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як виконавчий орган міської ради наділений повноваженнями у сфері:</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капітального будівництва обєктів комунальної власності;</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управління майном, яке належить до комунальної власності територіальної громади (далі - майно комунальної власності).</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 з метою забезпечення сталого розвитку території громади.</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енергетичного менеджменту підприємств, установ та організацій Сквирської міської ради.</w:t>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є головним розпорядником бюджетних коштів, що надходять за бюджетними призначеннями для будівництва, реконструкції та капітального ремонту обєктів нерухомого майна комунальної власності, об’єктів соціальної сфери, а також виступає замовником у процедурах закупівлі товарів, робіт (послуг), необхідних для здійснення своїх повноважень.</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у своїй діяльності керується Конституцією України, законами України, указами Президента України, постановами та розпорядженнями Кабінету Міністрів України, іншими нормативно - правовими актами та документами, у тому числі обласного рівня, рішеннями міської ради та її виконавчого комітету, розпорядженнями міського голови, Кодексом етичної поведінки посадових осіб місцевого самоврядування Сквирської міської ради, затвердженого рішенням виконавчого комітету міської ради від 27 лютого 2018 року №87, Статутом Сквирської територіальної громади, затвердженого рішенням міської ради від 29 березня 2018 року №2010-48-VII, зареєстрованого Міністерством юстиції України від 26 квітня 2018 року №6, Порядком роботи електронного документообігу у виконавчих органах Сквирської міської ради з урахуванням Політики інформаційної безпеки системи електронного документообігу, затвердженого рішенням виконавчого комітету міської ради від 12 вересня 2017 року №314 та цим Положенням. Закон України «Про енергетичну ефективність» та відповідні законодавчі акти енергетичної сфери.</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відділ може бути покладено виконання частини повноважень, які делеговані їм міською радою згідно чинного законодавства України.</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процесі виконання покладених на нього завдань взаємодіє з іншими структурними підрозділами міської ради, постійними комісіями міської ради,підприємствами, установами та організаціями об'єднаннями громадян, не залежно від форм власності і відомчої підпорядкованості.</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безпосередньо підпорядкований міському голові та заступнику міського голови згідно з розподілом обов'язків.</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Основні завдання:</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державної та місцевої політики в галузі капітального будівництва, управління комунальною власністю та житлово-комунального господарства територіальної громади.</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рішень органів виконавчої влади, міської ради, виконавчого комітету міської ради та розпоряджень міського голови з питань управління комунальною власністю, капітального будівництва та житлово-комунального господарства Сквирської територіальної громади.</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місцевої (регіональної) політики у галузі будівництва.</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завдань та функцій замовника з будівництва обєктів комунальної власності Сквирської міської ради та ефективного використання капітальних вкладень із залученням бюджетних коштів, що спрямовуються на цю мету.</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повноважень власника щодо майна, яке приватизується, відповідно до чинного законодавства України.</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повноважень орендодавця комунального майна.</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обліку та аналізу ефективності використання комунального майна.</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формування та реалізацію єдиної політики у житлово-комунальному господарстві громади та розробці механізмів реалізації прийнятих ними рішень.</w:t>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координацію діяльності комунальних підприємств, що надають послуги у сфері житлово-комунального господарства міста</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сприяння створенню та функціонуванню об'єднань співвласників багатоквартирних будинків.</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виконання комплексу заходів з капітального ремонту, реконструкції та будівництва об’єктів комунальної власності; сприяє реалізації інвестиційної політики у сфері будівництва, реконструкції і капітального ремонту об’єктів житлово-комунального господарства та благоустрою міста, здійснює контроль за їх будівництвом у межах своєї компетенції.</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участь  у  реалізації  державної  політики  у сфері екологічної безпеки, санітарного стану та благоустрою населених пунктів, якості питної води, поліпшення технічного і   технологічного   стану   систем   водопостачання  та водовідведення.</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облік громадян, які відповідно до законодавства потребують поліпшення житлових умов.</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здійснення контролю за станом квартирного обліку та додержанням житлового законодавства на підприємствах.</w:t>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контроль у сфері охорони навколишнього природного середовища в межах території громади.</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контроль за  дотриманням природоохоронного законодавства підприємствами, установами, організаціями та внесення пропозицій щодо припинення господарської діяльності підприємств, установ та організацій у разі порушення ними природоохоронного законодавства.</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контроль за охороною та відновленням зелених насаджень;</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Основні завдання енергоменеджера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Відповідає за ведення системи енергомоніторингу та збір інформації про стан споживання ресурсів бюджетної будівлі.</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Готує рекомендації керівнику бюджетної установи щодо проведення енергоефективних заходів в підпорядкованих установах.</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щоденний збір інформації з приладів обліку споживання нергоресурсів та температурних показників до 10 години та вносить зібрані дані до он-лайн системи енергомоніторингу, а також аналізує отримані дані на предмет відхилення, у разі якщо система енергомоніторингу показала таке відхилення.</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Якщо система енергомоніторингу виявила значне відхилення споживання енергоресурсу (більше ніж на 10%) - негайно інформують безпосереднього керівника, якщо перевищення виникло внаслідок надзвичайної ситуації техногенного характеру (аварії, катастрофи тощо) - вживає відповідні заходи для стабілізації ситуації. У випадку, якщо була допущена помилка при знятті показників - зняття показників повторюється. У разі виявлення несправності приладу обліку - інформують безпосереднього керівника.</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Слідкує за своєчасним здійсненням обслуговування інженерних систем відповідними фахівцями, своєчасним проходженням приладами обліку метрологічної повірки, а також інших заходів, пов'язаних з підвищенням ефективності енергоспоживання.</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Функції відділу</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Виконує функції замовника з будівництва (реконструкції, капітального ремонту) об'єктів нерухомого майна комунальної власності Сквирської міської ради за рахунок коштів місцевого бюджету та інших джерел фінансування та інвестицій.</w:t>
      </w:r>
    </w:p>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дотримання законодавства у галузі будівництва.</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Виконує функції замовника при здійсненні будівництва.</w:t>
      </w:r>
    </w:p>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Веде бухгалтерський і статистичний облік.</w:t>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в установленому порядку своєчасний розгляд заяв, звернень і скарг громадян, інших суб'єктів містобудування з питань, що належать до його компетенції та вживає відповідні заходи.</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Сприяє виконавчим органам міської ради у вирішенні питань соціально-економічного розвитку територіальної громади.</w:t>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Бере участь у розробці інвестиційних програм та проектів у сфері капітального будівництва, реконструкції, капітального ремонту.</w:t>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доступ до публічної інформації, розпорядником якої являється відділ.</w:t>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Виконує інші функції, пов'язані з реалізацією покладених завдань у сфері будівництва.</w:t>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Контролює виконання  заходів,  спрямованих на  забезпечення  сталої  роботи житлово-комунального господарства міста в осінньо-зимовий період, об'єктів галузі в умовах виникнення  стихійного  лиха,  аварій,  катастроф  і ліквідації їх наслідків,  проводить моніторинг  підготовки  житлово-комунального господарства до роботи в осінньо-зимовий період.</w:t>
      </w:r>
    </w:p>
    <w:p w:rsidR="00000000" w:rsidDel="00000000" w:rsidP="00000000" w:rsidRDefault="00000000" w:rsidRPr="00000000" w14:paraId="000000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Вживає заходів по поліпшенню  роботи підприємств з енергозбереження і оснащення відповідних об'єктів житлово-комунального господарства засобами обліку  згідно  завдань державних та регіональних програм.</w:t>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Подає проекти рішень, що стосуються роботи відділу, на розгляд виконавчого комітету Сквирської міської ради.</w:t>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виконання комплексу заходів з капітального ремонту, реконструкції та будівництва об’єктів комунальної власності; сприяє реалізації інвестиційної політики у сфері будівництва, реконструкції і капітального ремонту об’єктів житлово-комунального господарства та благоустрою міста.</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закупівлю товарів,  робіт і послуг, необхідних для виконання своїх завдань, у порядку, встановленому чинним законодавством України.</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Розглядає в установленому порядку у  межах  своєї компетенції інформаційні запити, звернення громадян, підприємств, установ і організацій,  здійснює  прийом  громадян  та  вживає  відповідних заходів для вирішення порушених ними питань.</w:t>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Інформує  населення  через  засоби масової інформації про програми розвитку житлово-комунального господарства громади, організовує їх громадське обговорення.</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реалізацію екологічної, науково-технічної та економічної політики, спрямованої на охорону навколишнього природного середовища.</w:t>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реалізацію рішень міської ради, її виконавчого комітету з питань охорони навколишнього природного середовища, поліпшення екологічного стану території, раціонального використання місцевих природних ресурсів, їх відтворення.</w:t>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координацію діяльності підприємств, організацій, установ, розташованих на території громади з питань охорони навколишнього природного середовища.</w:t>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Розробляє проекти місцевих екологічних програм та бере участь у розробці регіональних програм охорони навколишнього природного середовища.</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Формує перелік природоохоронних заходів для фінансування із місцевого фонду охорони навколишнього природного середовища.</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Сприяє у консультації з громадськістю, які проводяться у формі публічного громадського обговорення, передбачені Положенням про консультації з громадськістю  у Сквирській територіальній громаді у питаннях, віднесених до повноважень відділу.</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Виконує інші функції, передбачені чинним законодавством України.</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будівництва,комунальної власності та </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Сквирської міської ради</w:t>
        <w:tab/>
        <w:tab/>
        <w:tab/>
        <w:tab/>
        <w:t xml:space="preserve">                     Марина ТЕРНОВА</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6"/>
          <w:szCs w:val="26"/>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рішення сесії «Про внесення змін до рішення сесії</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від 22.12.2020</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№27-3-VIII «Про створення Відділу</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капітального будівництва, комунальної власності</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житлово-комунального господарства</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та затвердження його Положення»</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приведення у відповідність Положення про відділ капітального будівництва, комунальної власності та житлово-комунального господарства Сквирської міської ради  у зв’язку з покладенням на відділ виконання завдань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в організації проведення енергетичного менеджменту об’єктів комунальної власності Сквирської міської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ради у відповідності до законодавчих змін, які набули чинність в енергетичній галузі, виникла необхідність розробити проєкт рішення сесії Сквирської міської ради Про внесення змін до Положення про відділ додавши розділ «Основні завдання енергоменеджера».</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рішення підготовлено відповідно до Закону України «Про місцеве самоврядування в Україні», Законів України «Про енергоефективність», «Про енергозбереження», Розпорядження Кабінету Міністрів №732-р від 26.04.2017 року «Про затвердження плану заходів із впровадження систем енергетичного менеджменту в бюджетних установах». Обґрунтуванням необхідності внесення змін слугувало впровадження системи енергоменеджменту в Сквирській міській територіальній громаді, підвищення рівня ефективності використання всіх видів енергетичних ресурсів, забезпечення комфортних умов у будівлях бюджетної сфери, зменшення видатків з бюджету міської ради на оплату енергоносіїв та отримання максимального ефекту від впровадження енергоефективних заходів.</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2" w:right="0" w:firstLine="72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Проєктом рішення внесено зміни та доповнення до рішення сесії Сквирської міської ради №27-3-VIII від 22 грудня 2020 року «Про</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Відділу капітального будівництва, комунальної власності та житлово-комунального господарства Сквирської міської ради та затвердження його Положення», виклавши пункт 2 в новій редакції.</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будівництва,комунальної власності та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Сквирської міської ради</w:t>
        <w:tab/>
        <w:tab/>
        <w:tab/>
        <w:tab/>
        <w:t xml:space="preserve">                      Марина ТЕРНОВА</w:t>
      </w:r>
      <w:r w:rsidDel="00000000" w:rsidR="00000000" w:rsidRPr="00000000">
        <w:rPr>
          <w:rtl w:val="0"/>
        </w:rPr>
      </w:r>
    </w:p>
    <w:sectPr>
      <w:pgSz w:h="16838" w:w="11906" w:orient="portrait"/>
      <w:pgMar w:bottom="993" w:top="1133" w:left="1700.7874015748032"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UkrainianBaltic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511" w:hanging="360"/>
      </w:pPr>
      <w:rPr>
        <w:rFonts w:ascii="Noto Sans Symbols" w:cs="Noto Sans Symbols" w:eastAsia="Noto Sans Symbols" w:hAnsi="Noto Sans Symbols"/>
        <w:vertAlign w:val="baseline"/>
      </w:rPr>
    </w:lvl>
    <w:lvl w:ilvl="1">
      <w:start w:val="1"/>
      <w:numFmt w:val="bullet"/>
      <w:lvlText w:val="o"/>
      <w:lvlJc w:val="left"/>
      <w:pPr>
        <w:ind w:left="2231" w:hanging="360"/>
      </w:pPr>
      <w:rPr>
        <w:rFonts w:ascii="Courier New" w:cs="Courier New" w:eastAsia="Courier New" w:hAnsi="Courier New"/>
        <w:vertAlign w:val="baseline"/>
      </w:rPr>
    </w:lvl>
    <w:lvl w:ilvl="2">
      <w:start w:val="1"/>
      <w:numFmt w:val="bullet"/>
      <w:lvlText w:val="▪"/>
      <w:lvlJc w:val="left"/>
      <w:pPr>
        <w:ind w:left="2951" w:hanging="360"/>
      </w:pPr>
      <w:rPr>
        <w:rFonts w:ascii="Noto Sans Symbols" w:cs="Noto Sans Symbols" w:eastAsia="Noto Sans Symbols" w:hAnsi="Noto Sans Symbols"/>
        <w:vertAlign w:val="baseline"/>
      </w:rPr>
    </w:lvl>
    <w:lvl w:ilvl="3">
      <w:start w:val="1"/>
      <w:numFmt w:val="bullet"/>
      <w:lvlText w:val="●"/>
      <w:lvlJc w:val="left"/>
      <w:pPr>
        <w:ind w:left="3671" w:hanging="360"/>
      </w:pPr>
      <w:rPr>
        <w:rFonts w:ascii="Noto Sans Symbols" w:cs="Noto Sans Symbols" w:eastAsia="Noto Sans Symbols" w:hAnsi="Noto Sans Symbols"/>
        <w:vertAlign w:val="baseline"/>
      </w:rPr>
    </w:lvl>
    <w:lvl w:ilvl="4">
      <w:start w:val="1"/>
      <w:numFmt w:val="bullet"/>
      <w:lvlText w:val="o"/>
      <w:lvlJc w:val="left"/>
      <w:pPr>
        <w:ind w:left="4391" w:hanging="360"/>
      </w:pPr>
      <w:rPr>
        <w:rFonts w:ascii="Courier New" w:cs="Courier New" w:eastAsia="Courier New" w:hAnsi="Courier New"/>
        <w:vertAlign w:val="baseline"/>
      </w:rPr>
    </w:lvl>
    <w:lvl w:ilvl="5">
      <w:start w:val="1"/>
      <w:numFmt w:val="bullet"/>
      <w:lvlText w:val="▪"/>
      <w:lvlJc w:val="left"/>
      <w:pPr>
        <w:ind w:left="5111" w:hanging="360"/>
      </w:pPr>
      <w:rPr>
        <w:rFonts w:ascii="Noto Sans Symbols" w:cs="Noto Sans Symbols" w:eastAsia="Noto Sans Symbols" w:hAnsi="Noto Sans Symbols"/>
        <w:vertAlign w:val="baseline"/>
      </w:rPr>
    </w:lvl>
    <w:lvl w:ilvl="6">
      <w:start w:val="1"/>
      <w:numFmt w:val="bullet"/>
      <w:lvlText w:val="●"/>
      <w:lvlJc w:val="left"/>
      <w:pPr>
        <w:ind w:left="5831" w:hanging="360"/>
      </w:pPr>
      <w:rPr>
        <w:rFonts w:ascii="Noto Sans Symbols" w:cs="Noto Sans Symbols" w:eastAsia="Noto Sans Symbols" w:hAnsi="Noto Sans Symbols"/>
        <w:vertAlign w:val="baseline"/>
      </w:rPr>
    </w:lvl>
    <w:lvl w:ilvl="7">
      <w:start w:val="1"/>
      <w:numFmt w:val="bullet"/>
      <w:lvlText w:val="o"/>
      <w:lvlJc w:val="left"/>
      <w:pPr>
        <w:ind w:left="6551" w:hanging="360"/>
      </w:pPr>
      <w:rPr>
        <w:rFonts w:ascii="Courier New" w:cs="Courier New" w:eastAsia="Courier New" w:hAnsi="Courier New"/>
        <w:vertAlign w:val="baseline"/>
      </w:rPr>
    </w:lvl>
    <w:lvl w:ilvl="8">
      <w:start w:val="1"/>
      <w:numFmt w:val="bullet"/>
      <w:lvlText w:val="▪"/>
      <w:lvlJc w:val="left"/>
      <w:pPr>
        <w:ind w:left="7271"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360" w:hanging="360"/>
      </w:pPr>
      <w:rPr>
        <w:rFonts w:ascii="Times New Roman" w:cs="Times New Roman" w:eastAsia="Times New Roman" w:hAnsi="Times New Roman"/>
        <w:sz w:val="28"/>
        <w:szCs w:val="28"/>
        <w:vertAlign w:val="baseline"/>
      </w:rPr>
    </w:lvl>
    <w:lvl w:ilvl="1">
      <w:start w:val="1"/>
      <w:numFmt w:val="lowerLetter"/>
      <w:lvlText w:val="%2."/>
      <w:lvlJc w:val="left"/>
      <w:pPr>
        <w:ind w:left="1492" w:hanging="360"/>
      </w:pPr>
      <w:rPr>
        <w:vertAlign w:val="baseline"/>
      </w:rPr>
    </w:lvl>
    <w:lvl w:ilvl="2">
      <w:start w:val="1"/>
      <w:numFmt w:val="lowerRoman"/>
      <w:lvlText w:val="%3."/>
      <w:lvlJc w:val="right"/>
      <w:pPr>
        <w:ind w:left="2212" w:hanging="180"/>
      </w:pPr>
      <w:rPr>
        <w:vertAlign w:val="baseline"/>
      </w:rPr>
    </w:lvl>
    <w:lvl w:ilvl="3">
      <w:start w:val="1"/>
      <w:numFmt w:val="decimal"/>
      <w:lvlText w:val="%4."/>
      <w:lvlJc w:val="left"/>
      <w:pPr>
        <w:ind w:left="2932" w:hanging="360"/>
      </w:pPr>
      <w:rPr>
        <w:vertAlign w:val="baseline"/>
      </w:rPr>
    </w:lvl>
    <w:lvl w:ilvl="4">
      <w:start w:val="1"/>
      <w:numFmt w:val="lowerLetter"/>
      <w:lvlText w:val="%5."/>
      <w:lvlJc w:val="left"/>
      <w:pPr>
        <w:ind w:left="3652" w:hanging="360"/>
      </w:pPr>
      <w:rPr>
        <w:vertAlign w:val="baseline"/>
      </w:rPr>
    </w:lvl>
    <w:lvl w:ilvl="5">
      <w:start w:val="1"/>
      <w:numFmt w:val="lowerRoman"/>
      <w:lvlText w:val="%6."/>
      <w:lvlJc w:val="right"/>
      <w:pPr>
        <w:ind w:left="4372" w:hanging="180"/>
      </w:pPr>
      <w:rPr>
        <w:vertAlign w:val="baseline"/>
      </w:rPr>
    </w:lvl>
    <w:lvl w:ilvl="6">
      <w:start w:val="1"/>
      <w:numFmt w:val="decimal"/>
      <w:lvlText w:val="%7."/>
      <w:lvlJc w:val="left"/>
      <w:pPr>
        <w:ind w:left="5092" w:hanging="360"/>
      </w:pPr>
      <w:rPr>
        <w:vertAlign w:val="baseline"/>
      </w:rPr>
    </w:lvl>
    <w:lvl w:ilvl="7">
      <w:start w:val="1"/>
      <w:numFmt w:val="lowerLetter"/>
      <w:lvlText w:val="%8."/>
      <w:lvlJc w:val="left"/>
      <w:pPr>
        <w:ind w:left="5812" w:hanging="360"/>
      </w:pPr>
      <w:rPr>
        <w:vertAlign w:val="baseline"/>
      </w:rPr>
    </w:lvl>
    <w:lvl w:ilvl="8">
      <w:start w:val="1"/>
      <w:numFmt w:val="lowerRoman"/>
      <w:lvlText w:val="%9."/>
      <w:lvlJc w:val="right"/>
      <w:pPr>
        <w:ind w:left="6532"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358" w:hanging="360"/>
      </w:pPr>
      <w:rPr>
        <w:vertAlign w:val="baseline"/>
      </w:rPr>
    </w:lvl>
    <w:lvl w:ilvl="1">
      <w:start w:val="1"/>
      <w:numFmt w:val="lowerLetter"/>
      <w:lvlText w:val="%2."/>
      <w:lvlJc w:val="left"/>
      <w:pPr>
        <w:ind w:left="1078" w:hanging="360"/>
      </w:pPr>
      <w:rPr>
        <w:vertAlign w:val="baseline"/>
      </w:rPr>
    </w:lvl>
    <w:lvl w:ilvl="2">
      <w:start w:val="1"/>
      <w:numFmt w:val="lowerRoman"/>
      <w:lvlText w:val="%3."/>
      <w:lvlJc w:val="right"/>
      <w:pPr>
        <w:ind w:left="1798" w:hanging="180"/>
      </w:pPr>
      <w:rPr>
        <w:vertAlign w:val="baseline"/>
      </w:rPr>
    </w:lvl>
    <w:lvl w:ilvl="3">
      <w:start w:val="1"/>
      <w:numFmt w:val="decimal"/>
      <w:lvlText w:val="%4."/>
      <w:lvlJc w:val="left"/>
      <w:pPr>
        <w:ind w:left="2518" w:hanging="360"/>
      </w:pPr>
      <w:rPr>
        <w:vertAlign w:val="baseline"/>
      </w:rPr>
    </w:lvl>
    <w:lvl w:ilvl="4">
      <w:start w:val="1"/>
      <w:numFmt w:val="lowerLetter"/>
      <w:lvlText w:val="%5."/>
      <w:lvlJc w:val="left"/>
      <w:pPr>
        <w:ind w:left="3238" w:hanging="360"/>
      </w:pPr>
      <w:rPr>
        <w:vertAlign w:val="baseline"/>
      </w:rPr>
    </w:lvl>
    <w:lvl w:ilvl="5">
      <w:start w:val="1"/>
      <w:numFmt w:val="lowerRoman"/>
      <w:lvlText w:val="%6."/>
      <w:lvlJc w:val="right"/>
      <w:pPr>
        <w:ind w:left="3958" w:hanging="180"/>
      </w:pPr>
      <w:rPr>
        <w:vertAlign w:val="baseline"/>
      </w:rPr>
    </w:lvl>
    <w:lvl w:ilvl="6">
      <w:start w:val="1"/>
      <w:numFmt w:val="decimal"/>
      <w:lvlText w:val="%7."/>
      <w:lvlJc w:val="left"/>
      <w:pPr>
        <w:ind w:left="4678" w:hanging="360"/>
      </w:pPr>
      <w:rPr>
        <w:vertAlign w:val="baseline"/>
      </w:rPr>
    </w:lvl>
    <w:lvl w:ilvl="7">
      <w:start w:val="1"/>
      <w:numFmt w:val="lowerLetter"/>
      <w:lvlText w:val="%8."/>
      <w:lvlJc w:val="left"/>
      <w:pPr>
        <w:ind w:left="5398" w:hanging="360"/>
      </w:pPr>
      <w:rPr>
        <w:vertAlign w:val="baseline"/>
      </w:rPr>
    </w:lvl>
    <w:lvl w:ilvl="8">
      <w:start w:val="1"/>
      <w:numFmt w:val="lowerRoman"/>
      <w:lvlText w:val="%9."/>
      <w:lvlJc w:val="right"/>
      <w:pPr>
        <w:ind w:left="6118" w:hanging="180"/>
      </w:pPr>
      <w:rPr>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Обычный"/>
    <w:next w:val="Обычный"/>
    <w:autoRedefine w:val="0"/>
    <w:hidden w:val="0"/>
    <w:qFormat w:val="0"/>
    <w:pPr>
      <w:keepNext w:val="1"/>
      <w:suppressAutoHyphens w:val="0"/>
      <w:spacing w:line="1" w:lineRule="atLeast"/>
      <w:ind w:left="-1" w:leftChars="-1" w:rightChars="0" w:hanging="1" w:firstLineChars="-1"/>
      <w:jc w:val="center"/>
      <w:textDirection w:val="lrTb"/>
      <w:textAlignment w:val="top"/>
      <w:outlineLvl w:val="0"/>
    </w:pPr>
    <w:rPr>
      <w:rFonts w:ascii="Cambria" w:hAnsi="Cambria"/>
      <w:b w:val="1"/>
      <w:bCs w:val="1"/>
      <w:w w:val="100"/>
      <w:kern w:val="32"/>
      <w:position w:val="-1"/>
      <w:sz w:val="32"/>
      <w:szCs w:val="32"/>
      <w:effect w:val="none"/>
      <w:vertAlign w:val="baseline"/>
      <w:cs w:val="0"/>
      <w:em w:val="none"/>
      <w:lang w:bidi="ar-SA" w:eastAsia="ru-RU" w:val="ru-RU"/>
    </w:rPr>
  </w:style>
  <w:style w:type="paragraph" w:styleId="Заголовок2">
    <w:name w:val="Заголовок 2"/>
    <w:basedOn w:val="Обычный"/>
    <w:next w:val="Обычный"/>
    <w:autoRedefine w:val="0"/>
    <w:hidden w:val="0"/>
    <w:qFormat w:val="1"/>
    <w:pPr>
      <w:keepNext w:val="1"/>
      <w:suppressAutoHyphens w:val="0"/>
      <w:spacing w:after="60" w:before="240" w:line="1" w:lineRule="atLeast"/>
      <w:ind w:left="-1" w:leftChars="-1" w:rightChars="0" w:hanging="1" w:firstLineChars="-1"/>
      <w:textDirection w:val="lrTb"/>
      <w:textAlignment w:val="top"/>
      <w:outlineLvl w:val="1"/>
    </w:pPr>
    <w:rPr>
      <w:rFonts w:ascii="Cambria" w:hAnsi="Cambria"/>
      <w:b w:val="1"/>
      <w:bCs w:val="1"/>
      <w:i w:val="1"/>
      <w:iCs w:val="1"/>
      <w:w w:val="100"/>
      <w:position w:val="-1"/>
      <w:sz w:val="28"/>
      <w:szCs w:val="28"/>
      <w:effect w:val="none"/>
      <w:vertAlign w:val="baseline"/>
      <w:cs w:val="0"/>
      <w:em w:val="none"/>
      <w:lang w:bidi="ar-SA" w:eastAsia="ru-RU" w:val="ru-RU"/>
    </w:rPr>
  </w:style>
  <w:style w:type="paragraph" w:styleId="Заголовок3">
    <w:name w:val="Заголовок 3"/>
    <w:basedOn w:val="Обычный"/>
    <w:next w:val="Обычный"/>
    <w:autoRedefine w:val="0"/>
    <w:hidden w:val="0"/>
    <w:qFormat w:val="1"/>
    <w:pPr>
      <w:keepNext w:val="1"/>
      <w:suppressAutoHyphens w:val="0"/>
      <w:spacing w:line="1" w:lineRule="atLeast"/>
      <w:ind w:left="-1" w:leftChars="-1" w:rightChars="0" w:hanging="1" w:firstLineChars="-1"/>
      <w:jc w:val="center"/>
      <w:textDirection w:val="lrTb"/>
      <w:textAlignment w:val="top"/>
      <w:outlineLvl w:val="2"/>
    </w:pPr>
    <w:rPr>
      <w:rFonts w:ascii="Cambria" w:hAnsi="Cambria"/>
      <w:b w:val="1"/>
      <w:bCs w:val="1"/>
      <w:w w:val="100"/>
      <w:position w:val="-1"/>
      <w:sz w:val="26"/>
      <w:szCs w:val="26"/>
      <w:effect w:val="none"/>
      <w:vertAlign w:val="baseline"/>
      <w:cs w:val="0"/>
      <w:em w:val="none"/>
      <w:lang w:bidi="ar-SA" w:eastAsia="ru-RU" w:val="ru-RU"/>
    </w:rPr>
  </w:style>
  <w:style w:type="paragraph" w:styleId="Заголовок4">
    <w:name w:val="Заголовок 4"/>
    <w:basedOn w:val="Обычный"/>
    <w:next w:val="Обычный"/>
    <w:autoRedefine w:val="0"/>
    <w:hidden w:val="0"/>
    <w:qFormat w:val="1"/>
    <w:pPr>
      <w:keepNext w:val="1"/>
      <w:suppressAutoHyphens w:val="0"/>
      <w:spacing w:line="1" w:lineRule="atLeast"/>
      <w:ind w:left="-1" w:leftChars="-1" w:rightChars="0" w:hanging="1" w:firstLineChars="-1"/>
      <w:jc w:val="center"/>
      <w:textDirection w:val="lrTb"/>
      <w:textAlignment w:val="top"/>
      <w:outlineLvl w:val="3"/>
    </w:pPr>
    <w:rPr>
      <w:rFonts w:ascii="Calibri" w:hAnsi="Calibri"/>
      <w:b w:val="1"/>
      <w:bCs w:val="1"/>
      <w:w w:val="100"/>
      <w:position w:val="-1"/>
      <w:sz w:val="28"/>
      <w:szCs w:val="28"/>
      <w:effect w:val="none"/>
      <w:vertAlign w:val="baseline"/>
      <w:cs w:val="0"/>
      <w:em w:val="none"/>
      <w:lang w:bidi="ar-SA" w:eastAsia="ru-RU" w:val="ru-RU"/>
    </w:rPr>
  </w:style>
  <w:style w:type="paragraph" w:styleId="Заголовок5">
    <w:name w:val="Заголовок 5"/>
    <w:basedOn w:val="Обычный"/>
    <w:next w:val="Обычный"/>
    <w:autoRedefine w:val="0"/>
    <w:hidden w:val="0"/>
    <w:qFormat w:val="1"/>
    <w:pPr>
      <w:keepNext w:val="1"/>
      <w:keepLines w:val="1"/>
      <w:suppressAutoHyphens w:val="0"/>
      <w:spacing w:after="40" w:before="220" w:line="1" w:lineRule="atLeast"/>
      <w:ind w:left="-1" w:leftChars="-1" w:rightChars="0" w:hanging="1" w:firstLineChars="-1"/>
      <w:textDirection w:val="lrTb"/>
      <w:textAlignment w:val="top"/>
      <w:outlineLvl w:val="4"/>
    </w:pPr>
    <w:rPr>
      <w:b w:val="1"/>
      <w:w w:val="100"/>
      <w:position w:val="-1"/>
      <w:sz w:val="22"/>
      <w:szCs w:val="22"/>
      <w:effect w:val="none"/>
      <w:vertAlign w:val="baseline"/>
      <w:cs w:val="0"/>
      <w:em w:val="none"/>
      <w:lang w:bidi="ar-SA" w:eastAsia="ru-RU" w:val="ru-RU"/>
    </w:rPr>
  </w:style>
  <w:style w:type="paragraph" w:styleId="Заголовок6">
    <w:name w:val="Заголовок 6"/>
    <w:basedOn w:val="Обычный"/>
    <w:next w:val="Обычный"/>
    <w:autoRedefine w:val="0"/>
    <w:hidden w:val="0"/>
    <w:qFormat w:val="1"/>
    <w:pPr>
      <w:keepNext w:val="1"/>
      <w:keepLines w:val="1"/>
      <w:suppressAutoHyphens w:val="0"/>
      <w:spacing w:after="40" w:before="200" w:line="1" w:lineRule="atLeast"/>
      <w:ind w:left="-1" w:leftChars="-1" w:rightChars="0" w:hanging="1" w:firstLineChars="-1"/>
      <w:textDirection w:val="lrTb"/>
      <w:textAlignment w:val="top"/>
      <w:outlineLvl w:val="5"/>
    </w:pPr>
    <w:rPr>
      <w:b w:val="1"/>
      <w:w w:val="100"/>
      <w:position w:val="-1"/>
      <w:sz w:val="20"/>
      <w:szCs w:val="20"/>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normal0">
    <w:name w:val="normal"/>
    <w:next w:val="normal0"/>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style>
  <w:style w:type="table" w:styleId="TableNormal1">
    <w:name w:val="Table Normal"/>
    <w:next w:val="TableNormal1"/>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TableNormal1"/>
      <w:jc w:val="left"/>
    </w:tblPr>
  </w:style>
  <w:style w:type="paragraph" w:styleId="Название">
    <w:name w:val="Название"/>
    <w:basedOn w:val="Обычный"/>
    <w:next w:val="Обычный"/>
    <w:autoRedefine w:val="0"/>
    <w:hidden w:val="0"/>
    <w:qFormat w:val="0"/>
    <w:pPr>
      <w:keepNext w:val="1"/>
      <w:keepLines w:val="1"/>
      <w:suppressAutoHyphens w:val="0"/>
      <w:spacing w:after="120" w:before="480" w:line="1" w:lineRule="atLeast"/>
      <w:ind w:left="-1" w:leftChars="-1" w:rightChars="0" w:hanging="1" w:firstLineChars="-1"/>
      <w:textDirection w:val="lrTb"/>
      <w:textAlignment w:val="top"/>
      <w:outlineLvl w:val="0"/>
    </w:pPr>
    <w:rPr>
      <w:b w:val="1"/>
      <w:w w:val="100"/>
      <w:position w:val="-1"/>
      <w:sz w:val="72"/>
      <w:szCs w:val="72"/>
      <w:effect w:val="none"/>
      <w:vertAlign w:val="baseline"/>
      <w:cs w:val="0"/>
      <w:em w:val="none"/>
      <w:lang w:bidi="ar-SA" w:eastAsia="ru-RU" w:val="ru-RU"/>
    </w:rPr>
  </w:style>
  <w:style w:type="paragraph" w:styleId="normal">
    <w:name w:val="normal"/>
    <w:next w:val="normal"/>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style>
  <w:style w:type="table" w:styleId="TableNormal2">
    <w:name w:val="Table Normal"/>
    <w:next w:val="TableNormal2"/>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TableNormal2"/>
      <w:jc w:val="left"/>
    </w:tblPr>
  </w:style>
  <w:style w:type="table" w:styleId="TableNormal3">
    <w:name w:val="Table Normal"/>
    <w:next w:val="TableNormal3"/>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TableNormal3"/>
      <w:jc w:val="left"/>
      <w:tblCellMar>
        <w:top w:w="0.0" w:type="dxa"/>
        <w:left w:w="0.0" w:type="dxa"/>
        <w:bottom w:w="0.0" w:type="dxa"/>
        <w:right w:w="0.0" w:type="dxa"/>
      </w:tblCellMar>
    </w:tblPr>
  </w:style>
  <w:style w:type="table" w:styleId="TableNormal">
    <w:name w:val="Table Normal"/>
    <w:next w:val="TableNormal"/>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TableNormal"/>
      <w:jc w:val="left"/>
      <w:tblCellMar>
        <w:top w:w="0.0" w:type="dxa"/>
        <w:left w:w="0.0" w:type="dxa"/>
        <w:bottom w:w="0.0" w:type="dxa"/>
        <w:right w:w="0.0" w:type="dxa"/>
      </w:tblCellMar>
    </w:tblPr>
  </w:style>
  <w:style w:type="character" w:styleId="Шрифтабзацузапромовчанням">
    <w:name w:val="Шрифт абзацу за промовчанням"/>
    <w:next w:val="Шрифтабзацузапромовчанням"/>
    <w:autoRedefine w:val="0"/>
    <w:hidden w:val="0"/>
    <w:qFormat w:val="0"/>
    <w:rPr>
      <w:w w:val="100"/>
      <w:position w:val="-1"/>
      <w:effect w:val="none"/>
      <w:vertAlign w:val="baseline"/>
      <w:cs w:val="0"/>
      <w:em w:val="none"/>
      <w:lang/>
    </w:r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rPr>
  </w:style>
  <w:style w:type="character" w:styleId="Заголовок3Знак">
    <w:name w:val="Заголовок 3 Знак"/>
    <w:next w:val="Заголовок3Знак"/>
    <w:autoRedefine w:val="0"/>
    <w:hidden w:val="0"/>
    <w:qFormat w:val="0"/>
    <w:rPr>
      <w:rFonts w:ascii="Cambria" w:cs="Times New Roman" w:hAnsi="Cambria"/>
      <w:b w:val="1"/>
      <w:bCs w:val="1"/>
      <w:w w:val="100"/>
      <w:position w:val="-1"/>
      <w:sz w:val="26"/>
      <w:szCs w:val="26"/>
      <w:effect w:val="none"/>
      <w:vertAlign w:val="baseline"/>
      <w:cs w:val="0"/>
      <w:em w:val="none"/>
      <w:lang/>
    </w:rPr>
  </w:style>
  <w:style w:type="character" w:styleId="Заголовок4Знак">
    <w:name w:val="Заголовок 4 Знак"/>
    <w:next w:val="Заголовок4Знак"/>
    <w:autoRedefine w:val="0"/>
    <w:hidden w:val="0"/>
    <w:qFormat w:val="0"/>
    <w:rPr>
      <w:rFonts w:ascii="Calibri" w:cs="Times New Roman" w:hAnsi="Calibri"/>
      <w:b w:val="1"/>
      <w:bCs w:val="1"/>
      <w:w w:val="100"/>
      <w:position w:val="-1"/>
      <w:sz w:val="28"/>
      <w:szCs w:val="28"/>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0"/>
      <w:spacing w:line="1" w:lineRule="atLeast"/>
      <w:ind w:left="720" w:leftChars="-1" w:rightChars="0" w:hanging="1" w:firstLineChars="-1"/>
      <w:contextualSpacing w:val="1"/>
      <w:textDirection w:val="lrTb"/>
      <w:textAlignment w:val="top"/>
      <w:outlineLvl w:val="0"/>
    </w:pPr>
    <w:rPr>
      <w:w w:val="100"/>
      <w:position w:val="-1"/>
      <w:sz w:val="24"/>
      <w:szCs w:val="24"/>
      <w:effect w:val="none"/>
      <w:vertAlign w:val="baseline"/>
      <w:cs w:val="0"/>
      <w:em w:val="none"/>
      <w:lang w:bidi="ar-SA" w:eastAsia="ru-RU" w:val="ru-RU"/>
    </w:rPr>
  </w:style>
  <w:style w:type="paragraph" w:styleId="Верхнийколонтитул">
    <w:name w:val="Верхний колонтитул"/>
    <w:basedOn w:val="Обычный"/>
    <w:next w:val="Верхнийколонтитул"/>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4"/>
      <w:szCs w:val="24"/>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character" w:styleId="НижнійколонтитулЗнак">
    <w:name w:val="Нижній колонтитул Знак"/>
    <w:next w:val="НижнійколонтитулЗнак"/>
    <w:autoRedefine w:val="0"/>
    <w:hidden w:val="0"/>
    <w:qFormat w:val="0"/>
    <w:rPr>
      <w:w w:val="100"/>
      <w:position w:val="-1"/>
      <w:sz w:val="24"/>
      <w:szCs w:val="24"/>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0"/>
    <w:pPr>
      <w:suppressAutoHyphens w:val="0"/>
      <w:spacing w:line="1" w:lineRule="atLeast"/>
      <w:ind w:left="-1" w:leftChars="-1" w:rightChars="0" w:hanging="1" w:firstLineChars="-1"/>
      <w:textDirection w:val="lrTb"/>
      <w:textAlignment w:val="top"/>
      <w:outlineLvl w:val="0"/>
    </w:pPr>
    <w:rPr>
      <w:rFonts w:ascii="Tahoma" w:hAnsi="Tahoma"/>
      <w:w w:val="100"/>
      <w:position w:val="-1"/>
      <w:sz w:val="16"/>
      <w:szCs w:val="16"/>
      <w:effect w:val="none"/>
      <w:vertAlign w:val="baseline"/>
      <w:cs w:val="0"/>
      <w:em w:val="none"/>
      <w:lang w:bidi="ar-SA" w:eastAsia="ru-RU" w:val="ru-RU"/>
    </w:rPr>
  </w:style>
  <w:style w:type="character" w:styleId="ТекстувиносціЗнак">
    <w:name w:val="Текст у виносці Знак"/>
    <w:next w:val="ТекстувиносціЗнак"/>
    <w:autoRedefine w:val="0"/>
    <w:hidden w:val="0"/>
    <w:qFormat w:val="0"/>
    <w:rPr>
      <w:rFonts w:ascii="Tahoma" w:cs="Tahoma" w:hAnsi="Tahoma"/>
      <w:w w:val="100"/>
      <w:position w:val="-1"/>
      <w:sz w:val="16"/>
      <w:szCs w:val="16"/>
      <w:effect w:val="none"/>
      <w:vertAlign w:val="baseline"/>
      <w:cs w:val="0"/>
      <w:em w:val="none"/>
      <w:lang/>
    </w:rPr>
  </w:style>
  <w:style w:type="paragraph" w:styleId="Основнойтекст">
    <w:name w:val="Основной текст"/>
    <w:basedOn w:val="Обычный"/>
    <w:next w:val="Основнойтекст"/>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uk-UA"/>
    </w:rPr>
  </w:style>
  <w:style w:type="character" w:styleId="ОсновнийтекстЗнак">
    <w:name w:val="Основний текст Знак"/>
    <w:next w:val="ОсновнийтекстЗнак"/>
    <w:autoRedefine w:val="0"/>
    <w:hidden w:val="0"/>
    <w:qFormat w:val="0"/>
    <w:rPr>
      <w:w w:val="100"/>
      <w:position w:val="-1"/>
      <w:sz w:val="24"/>
      <w:szCs w:val="24"/>
      <w:effect w:val="none"/>
      <w:vertAlign w:val="baseline"/>
      <w:cs w:val="0"/>
      <w:em w:val="none"/>
      <w:lang w:val="uk-UA"/>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0"/>
      <w:spacing w:after="120" w:line="480" w:lineRule="auto"/>
      <w:ind w:left="283"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character" w:styleId="Основнийтекстзвідступом2Знак">
    <w:name w:val="Основний текст з відступом 2 Знак"/>
    <w:next w:val="Основнийтекстзвідступом2Знак"/>
    <w:autoRedefine w:val="0"/>
    <w:hidden w:val="0"/>
    <w:qFormat w:val="0"/>
    <w:rPr>
      <w:w w:val="100"/>
      <w:position w:val="-1"/>
      <w:sz w:val="24"/>
      <w:szCs w:val="24"/>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suppressAutoHyphens w:val="0"/>
      <w:spacing w:after="100" w:afterAutospacing="1" w:before="100" w:beforeAutospacing="1"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ru-RU" w:val="ru-RU"/>
    </w:rPr>
  </w:style>
  <w:style w:type="character" w:styleId="FontStyle15">
    <w:name w:val="Font Style15"/>
    <w:next w:val="FontStyle15"/>
    <w:autoRedefine w:val="0"/>
    <w:hidden w:val="0"/>
    <w:qFormat w:val="0"/>
    <w:rPr>
      <w:rFonts w:ascii="Times New Roman" w:cs="Times New Roman" w:hAnsi="Times New Roman" w:hint="default"/>
      <w:w w:val="100"/>
      <w:position w:val="-1"/>
      <w:sz w:val="26"/>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0"/>
      <w:spacing w:line="1" w:lineRule="atLeast"/>
      <w:ind w:left="-1" w:leftChars="-1" w:rightChars="0" w:hanging="1" w:firstLineChars="-1"/>
      <w:jc w:val="center"/>
      <w:textDirection w:val="lrTb"/>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table" w:styleId="Сеткатаблицы">
    <w:name w:val="Сетка таблицы"/>
    <w:basedOn w:val="Обычнаятаблица"/>
    <w:next w:val="Сеткатаблицы"/>
    <w:autoRedefine w:val="0"/>
    <w:hidden w:val="0"/>
    <w:qFormat w:val="0"/>
    <w:pPr>
      <w:suppressAutoHyphens w:val="0"/>
      <w:spacing w:line="1" w:lineRule="atLeast"/>
      <w:ind w:left="-1" w:leftChars="-1" w:rightChars="0" w:hanging="1" w:firstLineChars="-1"/>
      <w:textDirection w:val="lrTb"/>
      <w:textAlignment w:val="top"/>
      <w:outlineLvl w:val="0"/>
    </w:pPr>
    <w:rPr>
      <w:w w:val="100"/>
      <w:position w:val="-1"/>
      <w:effect w:val="none"/>
      <w:vertAlign w:val="baseline"/>
      <w:cs w:val="0"/>
      <w:em w:val="none"/>
      <w:lang/>
    </w:rPr>
    <w:tblPr>
      <w:tblStyle w:val="Сеткатаблицы"/>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rvps2">
    <w:name w:val="rvps2"/>
    <w:basedOn w:val="Обычный"/>
    <w:next w:val="rvps2"/>
    <w:autoRedefine w:val="0"/>
    <w:hidden w:val="0"/>
    <w:qFormat w:val="0"/>
    <w:pPr>
      <w:suppressAutoHyphens w:val="0"/>
      <w:spacing w:after="100" w:afterAutospacing="1" w:before="100" w:beforeAutospacing="1" w:line="1" w:lineRule="atLeast"/>
      <w:ind w:left="-1" w:leftChars="-1" w:rightChars="0" w:hanging="1" w:firstLineChars="-1"/>
      <w:textDirection w:val="lrTb"/>
      <w:textAlignment w:val="top"/>
      <w:outlineLvl w:val="0"/>
    </w:pPr>
    <w:rPr>
      <w:w w:val="100"/>
      <w:position w:val="-1"/>
      <w:sz w:val="24"/>
      <w:szCs w:val="24"/>
      <w:effect w:val="none"/>
      <w:vertAlign w:val="baseline"/>
      <w:cs w:val="0"/>
      <w:em w:val="none"/>
      <w:lang w:bidi="ar-SA" w:eastAsia="uk-UA" w:val="uk-UA"/>
    </w:rPr>
  </w:style>
  <w:style w:type="character" w:styleId="rvts9">
    <w:name w:val="rvts9"/>
    <w:basedOn w:val="Шрифтабзацузапромовчанням"/>
    <w:next w:val="rvts9"/>
    <w:autoRedefine w:val="0"/>
    <w:hidden w:val="0"/>
    <w:qFormat w:val="0"/>
    <w:rPr>
      <w:w w:val="100"/>
      <w:position w:val="-1"/>
      <w:effect w:val="none"/>
      <w:vertAlign w:val="baseline"/>
      <w:cs w:val="0"/>
      <w:em w:val="none"/>
      <w:lang/>
    </w:rPr>
  </w:style>
  <w:style w:type="paragraph" w:styleId="Подзаголовок">
    <w:name w:val="Подзаголовок"/>
    <w:basedOn w:val="normal"/>
    <w:next w:val="normal"/>
    <w:autoRedefine w:val="0"/>
    <w:hidden w:val="0"/>
    <w:qFormat w:val="0"/>
    <w:pPr>
      <w:keepNext w:val="1"/>
      <w:keepLines w:val="1"/>
      <w:pageBreakBefore w:val="0"/>
      <w:widowControl w:val="1"/>
      <w:pBdr>
        <w:top w:space="0" w:sz="0" w:val="nil"/>
        <w:left w:space="0" w:sz="0" w:val="nil"/>
        <w:bottom w:space="0" w:sz="0" w:val="nil"/>
        <w:right w:space="0" w:sz="0" w:val="nil"/>
        <w:between w:space="0" w:sz="0" w:val="nil"/>
      </w:pBdr>
      <w:shd w:color="auto" w:fill="auto" w:val="clear"/>
      <w:suppressAutoHyphens w:val="1"/>
      <w:spacing w:after="80" w:before="360" w:line="240" w:lineRule="auto"/>
      <w:ind w:left="0" w:right="0" w:leftChars="-1" w:rightChars="0" w:hanging="1" w:firstLineChars="-1"/>
      <w:jc w:val="left"/>
      <w:textDirection w:val="btLr"/>
      <w:textAlignment w:val="top"/>
      <w:outlineLvl w:val="0"/>
    </w:pPr>
    <w:rPr>
      <w:rFonts w:ascii="Georgia" w:cs="Georgia" w:eastAsia="Georgia" w:hAnsi="Georgia"/>
      <w:b w:val="0"/>
      <w:i w:val="1"/>
      <w:smallCaps w:val="0"/>
      <w:strike w:val="0"/>
      <w:color w:val="666666"/>
      <w:w w:val="100"/>
      <w:position w:val="-1"/>
      <w:sz w:val="48"/>
      <w:szCs w:val="48"/>
      <w:u w:val="none"/>
      <w:effect w:val="none"/>
      <w:shd w:color="auto" w:fill="auto" w:val="clear"/>
      <w:vertAlign w:val="baseline"/>
      <w:cs w:val="0"/>
      <w:em w:val="none"/>
      <w:lang w:bidi="ar-SA" w:eastAsia="ru-RU" w:val="ru-RU"/>
    </w:rPr>
  </w:style>
  <w:style w:type="table" w:styleId="4">
    <w:name w:val=""/>
    <w:basedOn w:val="TableNormal"/>
    <w:next w:val="4"/>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4"/>
      <w:tblStyleRowBandSize w:val="1"/>
      <w:tblStyleColBandSize w:val="1"/>
      <w:jc w:val="left"/>
      <w:tblCellMar>
        <w:left w:w="108.0" w:type="dxa"/>
        <w:right w:w="108.0" w:type="dxa"/>
      </w:tblCellMar>
    </w:tblPr>
  </w:style>
  <w:style w:type="table" w:styleId="5">
    <w:name w:val=""/>
    <w:basedOn w:val="TableNormal"/>
    <w:next w:val="5"/>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5"/>
      <w:tblStyleRowBandSize w:val="1"/>
      <w:tblStyleColBandSize w:val="1"/>
      <w:jc w:val="left"/>
      <w:tblCellMar>
        <w:left w:w="108.0" w:type="dxa"/>
        <w:right w:w="108.0" w:type="dxa"/>
      </w:tblCellMar>
    </w:tblPr>
  </w:style>
  <w:style w:type="table" w:styleId="6">
    <w:name w:val=""/>
    <w:basedOn w:val="TableNormal"/>
    <w:next w:val="6"/>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6"/>
      <w:tblStyleRowBandSize w:val="1"/>
      <w:tblStyleColBandSize w:val="1"/>
      <w:jc w:val="left"/>
      <w:tblCellMar>
        <w:left w:w="108.0" w:type="dxa"/>
        <w:right w:w="108.0" w:type="dxa"/>
      </w:tblCellMar>
    </w:tblPr>
  </w:style>
  <w:style w:type="table" w:styleId="7">
    <w:name w:val=""/>
    <w:basedOn w:val="TableNormal"/>
    <w:next w:val="7"/>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7"/>
      <w:tblStyleRowBandSize w:val="1"/>
      <w:tblStyleColBandSize w:val="1"/>
      <w:jc w:val="left"/>
      <w:tblCellMar>
        <w:left w:w="108.0" w:type="dxa"/>
        <w:right w:w="108.0" w:type="dxa"/>
      </w:tblCellMar>
    </w:tblPr>
  </w:style>
  <w:style w:type="table" w:styleId="8">
    <w:name w:val=""/>
    <w:basedOn w:val="TableNormal3"/>
    <w:next w:val="8"/>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8"/>
      <w:tblStyleRowBandSize w:val="1"/>
      <w:tblStyleColBandSize w:val="1"/>
      <w:jc w:val="left"/>
      <w:tblCellMar>
        <w:left w:w="108.0" w:type="dxa"/>
        <w:right w:w="108.0" w:type="dxa"/>
      </w:tblCellMar>
    </w:tblPr>
  </w:style>
  <w:style w:type="table" w:styleId="9">
    <w:name w:val=""/>
    <w:basedOn w:val="TableNormal3"/>
    <w:next w:val="9"/>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9"/>
      <w:tblStyleRowBandSize w:val="1"/>
      <w:tblStyleColBandSize w:val="1"/>
      <w:jc w:val="left"/>
      <w:tblCellMar>
        <w:left w:w="108.0" w:type="dxa"/>
        <w:right w:w="108.0" w:type="dxa"/>
      </w:tblCellMar>
    </w:tblPr>
  </w:style>
  <w:style w:type="table" w:styleId="10">
    <w:name w:val=""/>
    <w:basedOn w:val="TableNormal3"/>
    <w:next w:val="10"/>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10"/>
      <w:tblStyleRowBandSize w:val="1"/>
      <w:tblStyleColBandSize w:val="1"/>
      <w:jc w:val="left"/>
      <w:tblCellMar>
        <w:left w:w="108.0" w:type="dxa"/>
        <w:right w:w="108.0" w:type="dxa"/>
      </w:tblCellMar>
    </w:tblPr>
  </w:style>
  <w:style w:type="table" w:styleId="">
    <w:name w:val=""/>
    <w:basedOn w:val="TableNormal3"/>
    <w:next w:val=""/>
    <w:autoRedefine w:val="0"/>
    <w:hidden w:val="0"/>
    <w:qFormat w:val="0"/>
    <w:pPr>
      <w:suppressAutoHyphens w:val="1"/>
      <w:spacing w:line="1" w:lineRule="atLeast"/>
      <w:ind w:leftChars="-1" w:rightChars="0" w:hanging="1" w:firstLineChars="-1"/>
      <w:textDirection w:val="btLr"/>
      <w:textAlignment w:val="top"/>
      <w:outlineLvl w:val="0"/>
    </w:pPr>
    <w:rPr>
      <w:w w:val="100"/>
      <w:position w:val="-1"/>
      <w:sz w:val="24"/>
      <w:szCs w:val="24"/>
      <w:effect w:val="none"/>
      <w:vertAlign w:val="baseline"/>
      <w:cs w:val="0"/>
      <w:em w:val="none"/>
      <w:lang w:bidi="ar-SA" w:eastAsia="ru-RU" w:val="ru-RU"/>
    </w:rPr>
    <w:tblPr>
      <w:tblStyle w:val=""/>
      <w:tblStyleRowBandSize w:val="1"/>
      <w:tblStyleColBandSize w:val="1"/>
      <w:jc w:val="left"/>
      <w:tblCellMar>
        <w:left w:w="108.0" w:type="dxa"/>
        <w:right w:w="108.0" w:type="dxa"/>
      </w:tblCellMar>
    </w:tbl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OCPt63jXQHf02EJZvj26lB2G8g==">CgMxLjAyCGguZ2pkZ3hzMgloLjMwajB6bGwyCWguMWZvYjl0ZTgAciExS0VqVXZpS05jb0RzUGZnT1FNWWR3X3lLVWozN0pyUTg=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2023-09-11T12:11:00Z</dcterms:created>
  <dc:creator>Идеал</dc:creator>
</cp:coreProperties>
</file>